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DAD177" w14:textId="77777777" w:rsidR="007B429E" w:rsidRPr="007B429E" w:rsidRDefault="007B429E" w:rsidP="007B429E">
      <w:pPr>
        <w:pStyle w:val="Heading3"/>
      </w:pPr>
      <w:r w:rsidRPr="007B429E">
        <w:t>T---1NC</w:t>
      </w:r>
    </w:p>
    <w:p w14:paraId="49A293C1" w14:textId="77777777" w:rsidR="007B429E" w:rsidRPr="007B429E" w:rsidRDefault="007B429E" w:rsidP="007B429E">
      <w:r w:rsidRPr="007B429E">
        <w:t>T Exemptions---</w:t>
      </w:r>
    </w:p>
    <w:p w14:paraId="7D0B1E90" w14:textId="77777777" w:rsidR="007B429E" w:rsidRPr="00420F8A" w:rsidRDefault="007B429E" w:rsidP="007B429E">
      <w:pPr>
        <w:pStyle w:val="Heading4"/>
      </w:pPr>
      <w:r>
        <w:t xml:space="preserve">To “strengthen” means to </w:t>
      </w:r>
      <w:r>
        <w:rPr>
          <w:u w:val="single"/>
        </w:rPr>
        <w:t>make stronger</w:t>
      </w:r>
      <w:r>
        <w:t xml:space="preserve"> that which </w:t>
      </w:r>
      <w:r>
        <w:rPr>
          <w:u w:val="single"/>
        </w:rPr>
        <w:t>already</w:t>
      </w:r>
      <w:r>
        <w:t xml:space="preserve"> exists.</w:t>
      </w:r>
    </w:p>
    <w:p w14:paraId="2EA07725" w14:textId="77777777" w:rsidR="007B429E" w:rsidRPr="001B18EB" w:rsidRDefault="007B429E" w:rsidP="007B429E">
      <w:r w:rsidRPr="001B18EB">
        <w:rPr>
          <w:rStyle w:val="Style13ptBold"/>
        </w:rPr>
        <w:t>Hou 19</w:t>
      </w:r>
      <w:r>
        <w:t xml:space="preserve"> – Policy Analyst, Gov. of Canada. M.A., International Affairs, Graduate Institute of International and Development Studies in Geneva.</w:t>
      </w:r>
    </w:p>
    <w:p w14:paraId="5D079198" w14:textId="77777777" w:rsidR="007B429E" w:rsidRPr="001B18EB" w:rsidRDefault="007B429E" w:rsidP="007B429E">
      <w:r w:rsidRPr="001B18EB">
        <w:t>Angela Min Yi Hou, Julia Tops, Cindy Xinying Ou, “2018 Charlevoix G7 Final Compliance Report,” University of</w:t>
      </w:r>
      <w:r>
        <w:t xml:space="preserve"> Toronto Munk School of Global Affairs and Public Policy, 08-23-2019, </w:t>
      </w:r>
      <w:r w:rsidRPr="001B18EB">
        <w:t>https://g7.utoronto.ca/evaluations/2018compliance-final/17-2018-G7-final-compliance-energysec.pdf</w:t>
      </w:r>
    </w:p>
    <w:p w14:paraId="0669552E" w14:textId="77777777" w:rsidR="007B429E" w:rsidRDefault="007B429E" w:rsidP="007B429E">
      <w:pPr>
        <w:rPr>
          <w:sz w:val="16"/>
        </w:rPr>
      </w:pPr>
      <w:r w:rsidRPr="008C35E6">
        <w:rPr>
          <w:rStyle w:val="StyleUnderline"/>
          <w:highlight w:val="green"/>
        </w:rPr>
        <w:t>The</w:t>
      </w:r>
      <w:r w:rsidRPr="00070268">
        <w:rPr>
          <w:sz w:val="16"/>
        </w:rPr>
        <w:t xml:space="preserve"> first part of the </w:t>
      </w:r>
      <w:r w:rsidRPr="008C35E6">
        <w:rPr>
          <w:rStyle w:val="StyleUnderline"/>
          <w:highlight w:val="green"/>
        </w:rPr>
        <w:t xml:space="preserve">commitment </w:t>
      </w:r>
      <w:r w:rsidRPr="008C35E6">
        <w:rPr>
          <w:rStyle w:val="Emphasis"/>
          <w:highlight w:val="green"/>
        </w:rPr>
        <w:t>specifies</w:t>
      </w:r>
      <w:r w:rsidRPr="00070268">
        <w:rPr>
          <w:rStyle w:val="StyleUnderline"/>
        </w:rPr>
        <w:t xml:space="preserve"> that energy </w:t>
      </w:r>
      <w:r w:rsidRPr="008C35E6">
        <w:rPr>
          <w:rStyle w:val="StyleUnderline"/>
          <w:highlight w:val="green"/>
        </w:rPr>
        <w:t xml:space="preserve">security must be </w:t>
      </w:r>
      <w:r w:rsidRPr="008C35E6">
        <w:rPr>
          <w:rStyle w:val="Emphasis"/>
          <w:highlight w:val="green"/>
        </w:rPr>
        <w:t>strengthened</w:t>
      </w:r>
      <w:r w:rsidRPr="00070268">
        <w:rPr>
          <w:rStyle w:val="StyleUnderline"/>
        </w:rPr>
        <w:t xml:space="preserve"> collectively through ongoing action. </w:t>
      </w:r>
      <w:r w:rsidRPr="008C35E6">
        <w:rPr>
          <w:rStyle w:val="Emphasis"/>
          <w:highlight w:val="green"/>
        </w:rPr>
        <w:t>“</w:t>
      </w:r>
      <w:r w:rsidRPr="008C35E6">
        <w:rPr>
          <w:rStyle w:val="Emphasis"/>
          <w:sz w:val="26"/>
          <w:szCs w:val="26"/>
          <w:highlight w:val="green"/>
        </w:rPr>
        <w:t>Strengthen”</w:t>
      </w:r>
      <w:r w:rsidRPr="008C35E6">
        <w:rPr>
          <w:rStyle w:val="StyleUnderline"/>
          <w:sz w:val="26"/>
          <w:szCs w:val="26"/>
          <w:highlight w:val="green"/>
        </w:rPr>
        <w:t xml:space="preserve"> is </w:t>
      </w:r>
      <w:r w:rsidRPr="008C35E6">
        <w:rPr>
          <w:rStyle w:val="Emphasis"/>
          <w:sz w:val="26"/>
          <w:szCs w:val="26"/>
          <w:highlight w:val="green"/>
        </w:rPr>
        <w:t>defined</w:t>
      </w:r>
      <w:r w:rsidRPr="008C35E6">
        <w:rPr>
          <w:rStyle w:val="StyleUnderline"/>
          <w:highlight w:val="green"/>
        </w:rPr>
        <w:t xml:space="preserve"> as “to </w:t>
      </w:r>
      <w:r w:rsidRPr="008C35E6">
        <w:rPr>
          <w:rStyle w:val="Emphasis"/>
          <w:highlight w:val="green"/>
        </w:rPr>
        <w:t>make</w:t>
      </w:r>
      <w:r w:rsidRPr="00070268">
        <w:rPr>
          <w:sz w:val="16"/>
        </w:rPr>
        <w:t xml:space="preserve"> or become </w:t>
      </w:r>
      <w:r w:rsidRPr="008C35E6">
        <w:rPr>
          <w:rStyle w:val="Emphasis"/>
          <w:highlight w:val="green"/>
        </w:rPr>
        <w:t>stronger</w:t>
      </w:r>
      <w:r w:rsidRPr="008C35E6">
        <w:rPr>
          <w:rStyle w:val="StyleUnderline"/>
          <w:highlight w:val="green"/>
        </w:rPr>
        <w:t xml:space="preserve">,” </w:t>
      </w:r>
      <w:r w:rsidRPr="008C35E6">
        <w:rPr>
          <w:rStyle w:val="Emphasis"/>
          <w:sz w:val="26"/>
          <w:szCs w:val="26"/>
          <w:highlight w:val="green"/>
        </w:rPr>
        <w:t>which indicates</w:t>
      </w:r>
      <w:r w:rsidRPr="00070268">
        <w:rPr>
          <w:rStyle w:val="StyleUnderline"/>
        </w:rPr>
        <w:t xml:space="preserve"> that </w:t>
      </w:r>
      <w:r w:rsidRPr="008C35E6">
        <w:rPr>
          <w:rStyle w:val="StyleUnderline"/>
          <w:highlight w:val="green"/>
        </w:rPr>
        <w:t>the G7</w:t>
      </w:r>
      <w:r w:rsidRPr="00070268">
        <w:rPr>
          <w:sz w:val="16"/>
        </w:rPr>
        <w:t xml:space="preserve"> members </w:t>
      </w:r>
      <w:r w:rsidRPr="008C35E6">
        <w:rPr>
          <w:rStyle w:val="StyleUnderline"/>
          <w:highlight w:val="green"/>
        </w:rPr>
        <w:t>must</w:t>
      </w:r>
      <w:r w:rsidRPr="00070268">
        <w:rPr>
          <w:rStyle w:val="StyleUnderline"/>
        </w:rPr>
        <w:t xml:space="preserve"> act to </w:t>
      </w:r>
      <w:r w:rsidRPr="008C35E6">
        <w:rPr>
          <w:rStyle w:val="Emphasis"/>
          <w:highlight w:val="green"/>
        </w:rPr>
        <w:t>reinforce</w:t>
      </w:r>
      <w:r w:rsidRPr="00070268">
        <w:rPr>
          <w:rStyle w:val="Emphasis"/>
        </w:rPr>
        <w:t xml:space="preserve"> and enhance</w:t>
      </w:r>
      <w:r w:rsidRPr="00070268">
        <w:rPr>
          <w:rStyle w:val="StyleUnderline"/>
        </w:rPr>
        <w:t xml:space="preserve"> </w:t>
      </w:r>
      <w:r w:rsidRPr="008C35E6">
        <w:rPr>
          <w:rStyle w:val="Emphasis"/>
          <w:sz w:val="26"/>
          <w:szCs w:val="26"/>
          <w:highlight w:val="green"/>
        </w:rPr>
        <w:t>existing</w:t>
      </w:r>
      <w:r w:rsidRPr="00070268">
        <w:rPr>
          <w:rStyle w:val="StyleUnderline"/>
        </w:rPr>
        <w:t xml:space="preserve"> energy security-related </w:t>
      </w:r>
      <w:r w:rsidRPr="008C35E6">
        <w:rPr>
          <w:rStyle w:val="StyleUnderline"/>
          <w:highlight w:val="green"/>
        </w:rPr>
        <w:t>measures</w:t>
      </w:r>
      <w:r w:rsidRPr="00070268">
        <w:rPr>
          <w:rStyle w:val="StyleUnderline"/>
        </w:rPr>
        <w:t>.</w:t>
      </w:r>
      <w:r w:rsidRPr="00070268">
        <w:rPr>
          <w:sz w:val="16"/>
        </w:rPr>
        <w:t xml:space="preserve"> “Collective” reflects that this commitment binds G7 members to strengthen collective energy security through collaboration with other G7 members or international organizations. Examples of actions that count towards compliance for the first portion of the commitment include contributing to improving the global energy security framework, bilateral or multilateral energy security treaties; addressing energy security issues in the Global South; and increasing international energy transparency. Actions taken domestically or independently of other countries or international organizations do not count towards compliance. Moreover, the word “ongoing” reflects that the G7 member must act in a way that demonstrates consistent, continuous action or long-term consideration.</w:t>
      </w:r>
    </w:p>
    <w:p w14:paraId="11F57AD7" w14:textId="77777777" w:rsidR="007B429E" w:rsidRPr="00DC429B" w:rsidRDefault="007B429E" w:rsidP="007B429E">
      <w:pPr>
        <w:pStyle w:val="Heading4"/>
      </w:pPr>
      <w:r>
        <w:t xml:space="preserve">Affs can </w:t>
      </w:r>
      <w:r>
        <w:rPr>
          <w:u w:val="single"/>
        </w:rPr>
        <w:t>strengthen</w:t>
      </w:r>
      <w:r>
        <w:t xml:space="preserve"> CBR by changing the </w:t>
      </w:r>
      <w:r>
        <w:rPr>
          <w:u w:val="single"/>
        </w:rPr>
        <w:t>level</w:t>
      </w:r>
      <w:r>
        <w:t xml:space="preserve">, </w:t>
      </w:r>
      <w:r>
        <w:rPr>
          <w:u w:val="single"/>
        </w:rPr>
        <w:t>flexibility</w:t>
      </w:r>
      <w:r>
        <w:t xml:space="preserve">, </w:t>
      </w:r>
      <w:r>
        <w:rPr>
          <w:u w:val="single"/>
        </w:rPr>
        <w:t>coordination</w:t>
      </w:r>
      <w:r>
        <w:t xml:space="preserve">, or </w:t>
      </w:r>
      <w:r>
        <w:rPr>
          <w:u w:val="single"/>
        </w:rPr>
        <w:t>enforcement</w:t>
      </w:r>
      <w:r>
        <w:t xml:space="preserve">. </w:t>
      </w:r>
    </w:p>
    <w:p w14:paraId="11763544" w14:textId="77777777" w:rsidR="007B429E" w:rsidRPr="003F6276" w:rsidRDefault="007B429E" w:rsidP="007B429E">
      <w:r w:rsidRPr="003F6276">
        <w:rPr>
          <w:rStyle w:val="Style13ptBold"/>
        </w:rPr>
        <w:t>Domash 21</w:t>
      </w:r>
      <w:r>
        <w:t xml:space="preserve"> – Economic researcher. </w:t>
      </w:r>
    </w:p>
    <w:p w14:paraId="7EE63D27" w14:textId="77777777" w:rsidR="007B429E" w:rsidRDefault="007B429E" w:rsidP="007B429E">
      <w:r>
        <w:t>Alex Domash, “Returning Power To American Workers And Raising Wages,” Harvard Kennedy School, Written in fulfillment of the requirements for the degree of Master in Public Administration in International Development, John F. Kennedy School of Government, Harvard University, March 2021, https://www.hks.harvard.edu/sites/default/files/centers/cid/files/publications/CID_Wiener_Inequality%20Award%20Research/Policy%20Report_Alex%20Domash%20(1-A).pdf</w:t>
      </w:r>
    </w:p>
    <w:p w14:paraId="61C4FDFF" w14:textId="77777777" w:rsidR="007B429E" w:rsidRPr="00C567B8" w:rsidRDefault="007B429E" w:rsidP="007B429E">
      <w:pPr>
        <w:rPr>
          <w:sz w:val="16"/>
        </w:rPr>
      </w:pPr>
      <w:r w:rsidRPr="00C567B8">
        <w:rPr>
          <w:sz w:val="16"/>
        </w:rPr>
        <w:t>Features of collective bargaining systems</w:t>
      </w:r>
    </w:p>
    <w:p w14:paraId="5D511127" w14:textId="77777777" w:rsidR="007B429E" w:rsidRPr="00C567B8" w:rsidRDefault="007B429E" w:rsidP="007B429E">
      <w:pPr>
        <w:rPr>
          <w:sz w:val="16"/>
        </w:rPr>
      </w:pPr>
      <w:r w:rsidRPr="008C35E6">
        <w:rPr>
          <w:rStyle w:val="StyleUnderline"/>
          <w:highlight w:val="green"/>
        </w:rPr>
        <w:t>Collective bargaining systems</w:t>
      </w:r>
      <w:r w:rsidRPr="00C567B8">
        <w:rPr>
          <w:sz w:val="16"/>
        </w:rPr>
        <w:t xml:space="preserve"> across OECD countries </w:t>
      </w:r>
      <w:r w:rsidRPr="008C35E6">
        <w:rPr>
          <w:rStyle w:val="StyleUnderline"/>
          <w:highlight w:val="green"/>
        </w:rPr>
        <w:t>have four</w:t>
      </w:r>
      <w:r w:rsidRPr="00C567B8">
        <w:rPr>
          <w:rStyle w:val="StyleUnderline"/>
        </w:rPr>
        <w:t xml:space="preserve"> </w:t>
      </w:r>
      <w:r w:rsidRPr="00DC429B">
        <w:rPr>
          <w:rStyle w:val="StyleUnderline"/>
        </w:rPr>
        <w:t>principle</w:t>
      </w:r>
      <w:r w:rsidRPr="00C567B8">
        <w:rPr>
          <w:rStyle w:val="StyleUnderline"/>
        </w:rPr>
        <w:t xml:space="preserve"> </w:t>
      </w:r>
      <w:r w:rsidRPr="008C35E6">
        <w:rPr>
          <w:rStyle w:val="StyleUnderline"/>
          <w:highlight w:val="green"/>
        </w:rPr>
        <w:t>components</w:t>
      </w:r>
      <w:r w:rsidRPr="00C567B8">
        <w:rPr>
          <w:sz w:val="16"/>
        </w:rPr>
        <w:t>, summarized in the box below (modified from OECD (2019): “Negotiating our way up”):</w:t>
      </w:r>
    </w:p>
    <w:p w14:paraId="0A0BE621" w14:textId="77777777" w:rsidR="007B429E" w:rsidRPr="00C567B8" w:rsidRDefault="007B429E" w:rsidP="007B429E">
      <w:pPr>
        <w:rPr>
          <w:sz w:val="16"/>
        </w:rPr>
      </w:pPr>
      <w:r w:rsidRPr="00C567B8">
        <w:rPr>
          <w:sz w:val="16"/>
        </w:rPr>
        <w:t>Four main features of collective bargaining systems</w:t>
      </w:r>
    </w:p>
    <w:p w14:paraId="0588351E" w14:textId="77777777" w:rsidR="007B429E" w:rsidRPr="00C567B8" w:rsidRDefault="007B429E" w:rsidP="007B429E">
      <w:pPr>
        <w:rPr>
          <w:sz w:val="16"/>
        </w:rPr>
      </w:pPr>
      <w:r w:rsidRPr="00C567B8">
        <w:rPr>
          <w:rStyle w:val="StyleUnderline"/>
        </w:rPr>
        <w:t xml:space="preserve">1. </w:t>
      </w:r>
      <w:r w:rsidRPr="008C35E6">
        <w:rPr>
          <w:rStyle w:val="Emphasis"/>
          <w:highlight w:val="green"/>
        </w:rPr>
        <w:t>Level</w:t>
      </w:r>
      <w:r w:rsidRPr="00C567B8">
        <w:rPr>
          <w:rStyle w:val="StyleUnderline"/>
        </w:rPr>
        <w:t xml:space="preserve"> of bargaining</w:t>
      </w:r>
      <w:r w:rsidRPr="00C567B8">
        <w:rPr>
          <w:sz w:val="16"/>
        </w:rPr>
        <w:t xml:space="preserve"> – </w:t>
      </w:r>
      <w:r w:rsidRPr="00C567B8">
        <w:rPr>
          <w:rStyle w:val="StyleUnderline"/>
        </w:rPr>
        <w:t xml:space="preserve">does collective bargaining take place at the </w:t>
      </w:r>
      <w:r w:rsidRPr="008C35E6">
        <w:rPr>
          <w:rStyle w:val="Emphasis"/>
          <w:highlight w:val="green"/>
        </w:rPr>
        <w:t>firm</w:t>
      </w:r>
      <w:r w:rsidRPr="00C567B8">
        <w:rPr>
          <w:sz w:val="16"/>
        </w:rPr>
        <w:t xml:space="preserve">, </w:t>
      </w:r>
      <w:r w:rsidRPr="008C35E6">
        <w:rPr>
          <w:rStyle w:val="Emphasis"/>
          <w:highlight w:val="green"/>
        </w:rPr>
        <w:t>sectoral</w:t>
      </w:r>
      <w:r w:rsidRPr="00C567B8">
        <w:rPr>
          <w:sz w:val="16"/>
        </w:rPr>
        <w:t xml:space="preserve">, </w:t>
      </w:r>
      <w:r w:rsidRPr="008C35E6">
        <w:rPr>
          <w:rStyle w:val="StyleUnderline"/>
          <w:highlight w:val="green"/>
        </w:rPr>
        <w:t xml:space="preserve">or </w:t>
      </w:r>
      <w:r w:rsidRPr="008C35E6">
        <w:rPr>
          <w:rStyle w:val="Emphasis"/>
          <w:highlight w:val="green"/>
        </w:rPr>
        <w:t>national</w:t>
      </w:r>
      <w:r w:rsidRPr="00C567B8">
        <w:rPr>
          <w:rStyle w:val="StyleUnderline"/>
        </w:rPr>
        <w:t xml:space="preserve"> level?</w:t>
      </w:r>
    </w:p>
    <w:p w14:paraId="556A6B0E" w14:textId="77777777" w:rsidR="007B429E" w:rsidRPr="00C567B8" w:rsidRDefault="007B429E" w:rsidP="007B429E">
      <w:pPr>
        <w:rPr>
          <w:sz w:val="16"/>
        </w:rPr>
      </w:pPr>
      <w:r w:rsidRPr="00C567B8">
        <w:rPr>
          <w:rStyle w:val="StyleUnderline"/>
        </w:rPr>
        <w:t xml:space="preserve">2. Amount of </w:t>
      </w:r>
      <w:r w:rsidRPr="008C35E6">
        <w:rPr>
          <w:rStyle w:val="Emphasis"/>
          <w:highlight w:val="green"/>
        </w:rPr>
        <w:t>flexibility</w:t>
      </w:r>
      <w:r w:rsidRPr="00C567B8">
        <w:rPr>
          <w:sz w:val="16"/>
        </w:rPr>
        <w:t xml:space="preserve"> – </w:t>
      </w:r>
      <w:r w:rsidRPr="008C35E6">
        <w:rPr>
          <w:rStyle w:val="StyleUnderline"/>
          <w:highlight w:val="green"/>
        </w:rPr>
        <w:t>how much room</w:t>
      </w:r>
      <w:r w:rsidRPr="00C567B8">
        <w:rPr>
          <w:rStyle w:val="StyleUnderline"/>
        </w:rPr>
        <w:t xml:space="preserve"> is there </w:t>
      </w:r>
      <w:r w:rsidRPr="00CA6BAB">
        <w:rPr>
          <w:rStyle w:val="StyleUnderline"/>
          <w:highlight w:val="green"/>
        </w:rPr>
        <w:t xml:space="preserve">for firms to </w:t>
      </w:r>
      <w:r w:rsidRPr="008C35E6">
        <w:rPr>
          <w:rStyle w:val="Emphasis"/>
          <w:highlight w:val="green"/>
        </w:rPr>
        <w:t>derogate</w:t>
      </w:r>
      <w:r w:rsidRPr="00C567B8">
        <w:rPr>
          <w:rStyle w:val="StyleUnderline"/>
        </w:rPr>
        <w:t xml:space="preserve"> from higher-level agreements </w:t>
      </w:r>
      <w:r w:rsidRPr="008C35E6">
        <w:rPr>
          <w:rStyle w:val="StyleUnderline"/>
          <w:highlight w:val="green"/>
        </w:rPr>
        <w:t xml:space="preserve">or </w:t>
      </w:r>
      <w:r w:rsidRPr="008C35E6">
        <w:rPr>
          <w:rStyle w:val="Emphasis"/>
          <w:highlight w:val="green"/>
        </w:rPr>
        <w:t>opt-out</w:t>
      </w:r>
      <w:r w:rsidRPr="00C567B8">
        <w:rPr>
          <w:rStyle w:val="StyleUnderline"/>
        </w:rPr>
        <w:t xml:space="preserve"> of bargaining agreements </w:t>
      </w:r>
      <w:r w:rsidRPr="00CA6BAB">
        <w:rPr>
          <w:rStyle w:val="StyleUnderline"/>
          <w:highlight w:val="green"/>
        </w:rPr>
        <w:t>in case of</w:t>
      </w:r>
      <w:r w:rsidRPr="00C567B8">
        <w:rPr>
          <w:rStyle w:val="StyleUnderline"/>
        </w:rPr>
        <w:t xml:space="preserve"> economic </w:t>
      </w:r>
      <w:r w:rsidRPr="00CA6BAB">
        <w:rPr>
          <w:rStyle w:val="StyleUnderline"/>
          <w:highlight w:val="green"/>
        </w:rPr>
        <w:t>hardship?</w:t>
      </w:r>
    </w:p>
    <w:p w14:paraId="6E99E9E6" w14:textId="77777777" w:rsidR="007B429E" w:rsidRPr="00C567B8" w:rsidRDefault="007B429E" w:rsidP="007B429E">
      <w:pPr>
        <w:rPr>
          <w:sz w:val="16"/>
        </w:rPr>
      </w:pPr>
      <w:r w:rsidRPr="00C567B8">
        <w:rPr>
          <w:rStyle w:val="StyleUnderline"/>
        </w:rPr>
        <w:t xml:space="preserve">3. </w:t>
      </w:r>
      <w:r w:rsidRPr="008C35E6">
        <w:rPr>
          <w:rStyle w:val="StyleUnderline"/>
          <w:highlight w:val="green"/>
        </w:rPr>
        <w:t>Extent of coordination</w:t>
      </w:r>
      <w:r w:rsidRPr="00C567B8">
        <w:rPr>
          <w:sz w:val="16"/>
        </w:rPr>
        <w:t xml:space="preserve"> – </w:t>
      </w:r>
      <w:r w:rsidRPr="008C35E6">
        <w:rPr>
          <w:rStyle w:val="StyleUnderline"/>
          <w:highlight w:val="green"/>
        </w:rPr>
        <w:t xml:space="preserve">is there </w:t>
      </w:r>
      <w:r w:rsidRPr="00CA6BAB">
        <w:rPr>
          <w:rStyle w:val="Emphasis"/>
          <w:highlight w:val="green"/>
        </w:rPr>
        <w:t>synchronization</w:t>
      </w:r>
      <w:r w:rsidRPr="00CA6BAB">
        <w:rPr>
          <w:rStyle w:val="StyleUnderline"/>
          <w:highlight w:val="green"/>
        </w:rPr>
        <w:t xml:space="preserve"> between</w:t>
      </w:r>
      <w:r w:rsidRPr="00C567B8">
        <w:rPr>
          <w:rStyle w:val="StyleUnderline"/>
        </w:rPr>
        <w:t xml:space="preserve"> different </w:t>
      </w:r>
      <w:r w:rsidRPr="00CA6BAB">
        <w:rPr>
          <w:rStyle w:val="StyleUnderline"/>
          <w:highlight w:val="green"/>
        </w:rPr>
        <w:t>bargaining units (e.g.</w:t>
      </w:r>
      <w:r w:rsidRPr="00C567B8">
        <w:rPr>
          <w:rStyle w:val="StyleUnderline"/>
        </w:rPr>
        <w:t xml:space="preserve"> do </w:t>
      </w:r>
      <w:r w:rsidRPr="00C567B8">
        <w:rPr>
          <w:rStyle w:val="Emphasis"/>
        </w:rPr>
        <w:t>sectors</w:t>
      </w:r>
      <w:r w:rsidRPr="00C567B8">
        <w:rPr>
          <w:rStyle w:val="StyleUnderline"/>
        </w:rPr>
        <w:t xml:space="preserve"> </w:t>
      </w:r>
      <w:r w:rsidRPr="00C567B8">
        <w:rPr>
          <w:rStyle w:val="Emphasis"/>
        </w:rPr>
        <w:t>coordinate</w:t>
      </w:r>
      <w:r w:rsidRPr="00C567B8">
        <w:rPr>
          <w:rStyle w:val="StyleUnderline"/>
        </w:rPr>
        <w:t xml:space="preserve"> with each other </w:t>
      </w:r>
      <w:r w:rsidRPr="00CA6BAB">
        <w:rPr>
          <w:rStyle w:val="StyleUnderline"/>
          <w:highlight w:val="green"/>
        </w:rPr>
        <w:t>on wage targets</w:t>
      </w:r>
      <w:r w:rsidRPr="00C567B8">
        <w:rPr>
          <w:rStyle w:val="StyleUnderline"/>
        </w:rPr>
        <w:t xml:space="preserve"> in sectoral systems)?</w:t>
      </w:r>
    </w:p>
    <w:p w14:paraId="21AF1963" w14:textId="77777777" w:rsidR="007B429E" w:rsidRPr="00C567B8" w:rsidRDefault="007B429E" w:rsidP="007B429E">
      <w:pPr>
        <w:rPr>
          <w:rStyle w:val="StyleUnderline"/>
        </w:rPr>
      </w:pPr>
      <w:r w:rsidRPr="00C567B8">
        <w:rPr>
          <w:rStyle w:val="StyleUnderline"/>
        </w:rPr>
        <w:t xml:space="preserve">4. </w:t>
      </w:r>
      <w:r w:rsidRPr="008C35E6">
        <w:rPr>
          <w:rStyle w:val="StyleUnderline"/>
          <w:highlight w:val="green"/>
        </w:rPr>
        <w:t>Enforcement</w:t>
      </w:r>
      <w:r w:rsidRPr="00C567B8">
        <w:rPr>
          <w:rStyle w:val="StyleUnderline"/>
        </w:rPr>
        <w:t xml:space="preserve"> capacity</w:t>
      </w:r>
      <w:r w:rsidRPr="00C567B8">
        <w:rPr>
          <w:sz w:val="16"/>
        </w:rPr>
        <w:t xml:space="preserve"> – </w:t>
      </w:r>
      <w:r w:rsidRPr="008C35E6">
        <w:rPr>
          <w:rStyle w:val="StyleUnderline"/>
          <w:highlight w:val="green"/>
        </w:rPr>
        <w:t xml:space="preserve">how </w:t>
      </w:r>
      <w:r w:rsidRPr="008C35E6">
        <w:rPr>
          <w:rStyle w:val="Emphasis"/>
          <w:highlight w:val="green"/>
        </w:rPr>
        <w:t>likely</w:t>
      </w:r>
      <w:r w:rsidRPr="008C35E6">
        <w:rPr>
          <w:rStyle w:val="StyleUnderline"/>
          <w:highlight w:val="green"/>
        </w:rPr>
        <w:t xml:space="preserve"> is </w:t>
      </w:r>
      <w:r w:rsidRPr="00CA6BAB">
        <w:rPr>
          <w:rStyle w:val="Emphasis"/>
          <w:highlight w:val="green"/>
        </w:rPr>
        <w:t>punishment</w:t>
      </w:r>
      <w:r w:rsidRPr="00CA6BAB">
        <w:rPr>
          <w:rStyle w:val="StyleUnderline"/>
          <w:highlight w:val="green"/>
        </w:rPr>
        <w:t xml:space="preserve"> if a party deviates</w:t>
      </w:r>
      <w:r w:rsidRPr="00CA6BAB">
        <w:rPr>
          <w:rStyle w:val="StyleUnderline"/>
        </w:rPr>
        <w:t xml:space="preserve"> from</w:t>
      </w:r>
      <w:r w:rsidRPr="00C567B8">
        <w:rPr>
          <w:rStyle w:val="StyleUnderline"/>
        </w:rPr>
        <w:t xml:space="preserve"> the terms set in collective agreements?</w:t>
      </w:r>
    </w:p>
    <w:p w14:paraId="556DB61E" w14:textId="77777777" w:rsidR="007B429E" w:rsidRPr="00C567B8" w:rsidRDefault="007B429E" w:rsidP="007B429E">
      <w:pPr>
        <w:rPr>
          <w:sz w:val="16"/>
        </w:rPr>
      </w:pPr>
      <w:r w:rsidRPr="00C567B8">
        <w:rPr>
          <w:sz w:val="16"/>
        </w:rPr>
        <w:t>While broad-based bargaining agreements are common in nearly all continental European countries, there is significant variation in how, and to what extent, firm-level agreements supplement higher-level agreements. In some countries, such as the Scandinavian countries, sectoral agreements only define broad frameworks, but leave significant scope for bargaining at the firm level. In other countries, such as Germany and Austria, sectoral agreements play an important role, but still allow firms to opt-out of certain agreements and renegotiate at the firmlevel. In a third set of countries, such as Italy and Slovenia, sectoral agreements largely set the rules, and don’t allow firms much flexibility (OECD, 2019).</w:t>
      </w:r>
    </w:p>
    <w:p w14:paraId="6CF07DDA" w14:textId="77777777" w:rsidR="007B429E" w:rsidRPr="00C567B8" w:rsidRDefault="007B429E" w:rsidP="007B429E">
      <w:pPr>
        <w:rPr>
          <w:sz w:val="16"/>
        </w:rPr>
      </w:pPr>
      <w:r w:rsidRPr="00C567B8">
        <w:rPr>
          <w:sz w:val="16"/>
        </w:rPr>
        <w:t xml:space="preserve">The majority of OECD countries (not including the United States) use some combination of firm-level and higher-level agreements to extend collective bargaining coverage to workers (Figure 10). </w:t>
      </w:r>
      <w:r w:rsidRPr="00C567B8">
        <w:rPr>
          <w:rStyle w:val="StyleUnderline"/>
        </w:rPr>
        <w:t>Two key components that influence how sectoral and firm-level agreements interact are:</w:t>
      </w:r>
      <w:r w:rsidRPr="00C567B8">
        <w:rPr>
          <w:sz w:val="16"/>
        </w:rPr>
        <w:t xml:space="preserve"> </w:t>
      </w:r>
      <w:r w:rsidRPr="00C567B8">
        <w:rPr>
          <w:rStyle w:val="StyleUnderline"/>
        </w:rPr>
        <w:t>1) the favorability principle</w:t>
      </w:r>
      <w:r w:rsidRPr="00C567B8">
        <w:rPr>
          <w:sz w:val="16"/>
        </w:rPr>
        <w:t xml:space="preserve">, </w:t>
      </w:r>
      <w:r w:rsidRPr="00C567B8">
        <w:rPr>
          <w:rStyle w:val="StyleUnderline"/>
        </w:rPr>
        <w:t>and 2) derogations</w:t>
      </w:r>
      <w:r w:rsidRPr="00C567B8">
        <w:rPr>
          <w:sz w:val="16"/>
        </w:rPr>
        <w:t xml:space="preserve">. </w:t>
      </w:r>
      <w:r w:rsidRPr="00C567B8">
        <w:rPr>
          <w:rStyle w:val="StyleUnderline"/>
        </w:rPr>
        <w:t>The favorability principle</w:t>
      </w:r>
      <w:r w:rsidRPr="00C567B8">
        <w:rPr>
          <w:sz w:val="16"/>
        </w:rPr>
        <w:t xml:space="preserve">, which is common in most continental European countries, </w:t>
      </w:r>
      <w:r w:rsidRPr="00C567B8">
        <w:rPr>
          <w:rStyle w:val="StyleUnderline"/>
        </w:rPr>
        <w:t>states that lower-level agreements can only improve higher-level agreements</w:t>
      </w:r>
      <w:r w:rsidRPr="00C567B8">
        <w:rPr>
          <w:sz w:val="16"/>
        </w:rPr>
        <w:t xml:space="preserve">. </w:t>
      </w:r>
      <w:r w:rsidRPr="00C567B8">
        <w:rPr>
          <w:rStyle w:val="StyleUnderline"/>
        </w:rPr>
        <w:t>The second key component, derogations</w:t>
      </w:r>
      <w:r w:rsidRPr="00C567B8">
        <w:rPr>
          <w:sz w:val="16"/>
        </w:rPr>
        <w:t xml:space="preserve">, </w:t>
      </w:r>
      <w:r w:rsidRPr="00C567B8">
        <w:rPr>
          <w:rStyle w:val="StyleUnderline"/>
        </w:rPr>
        <w:t xml:space="preserve">allow firms to </w:t>
      </w:r>
      <w:r w:rsidRPr="00C567B8">
        <w:rPr>
          <w:rStyle w:val="Emphasis"/>
        </w:rPr>
        <w:t>opt-out</w:t>
      </w:r>
      <w:r w:rsidRPr="00C567B8">
        <w:rPr>
          <w:rStyle w:val="StyleUnderline"/>
        </w:rPr>
        <w:t xml:space="preserve"> of higherlevel conditions</w:t>
      </w:r>
      <w:r w:rsidRPr="00C567B8">
        <w:rPr>
          <w:sz w:val="16"/>
        </w:rPr>
        <w:t xml:space="preserve">, </w:t>
      </w:r>
      <w:r w:rsidRPr="00C567B8">
        <w:rPr>
          <w:rStyle w:val="StyleUnderline"/>
        </w:rPr>
        <w:t>either through general opening clauses</w:t>
      </w:r>
      <w:r w:rsidRPr="00C567B8">
        <w:rPr>
          <w:sz w:val="16"/>
        </w:rPr>
        <w:t xml:space="preserve">, </w:t>
      </w:r>
      <w:r w:rsidRPr="00C567B8">
        <w:rPr>
          <w:rStyle w:val="StyleUnderline"/>
        </w:rPr>
        <w:t>or temporary opt-out clauses</w:t>
      </w:r>
      <w:r w:rsidRPr="00C567B8">
        <w:rPr>
          <w:sz w:val="16"/>
        </w:rPr>
        <w:t xml:space="preserve"> in the case of an economic hardship. Germany effectively used temporary opt-out clauses to support firms during the 2008-2009 financial crisis (Dustmann et al, 2014). </w:t>
      </w:r>
    </w:p>
    <w:p w14:paraId="6119160B" w14:textId="77777777" w:rsidR="007B429E" w:rsidRPr="00C567B8" w:rsidRDefault="007B429E" w:rsidP="007B429E">
      <w:pPr>
        <w:rPr>
          <w:sz w:val="16"/>
        </w:rPr>
      </w:pPr>
      <w:r w:rsidRPr="00C567B8">
        <w:t>[Figure 10 Omitted]</w:t>
      </w:r>
      <w:r w:rsidRPr="00C567B8">
        <w:rPr>
          <w:sz w:val="16"/>
        </w:rPr>
        <w:t xml:space="preserve"> </w:t>
      </w:r>
    </w:p>
    <w:p w14:paraId="1A6F9BF5" w14:textId="77777777" w:rsidR="007B429E" w:rsidRDefault="007B429E" w:rsidP="007B429E">
      <w:pPr>
        <w:rPr>
          <w:sz w:val="16"/>
        </w:rPr>
      </w:pPr>
      <w:r w:rsidRPr="00C567B8">
        <w:rPr>
          <w:sz w:val="16"/>
        </w:rPr>
        <w:t>Economic theory suggests that there is an important trade-off between flexibility and coordination among these different types of bargaining systems. In an enterprise bargaining system (e.g. the United States system), there is less wage rigidity at the firm-level, which gives firms more flexibility to respond to firm-specific economic shocks and more autonomy to link worker performance/productivity to wages. In a sectoral or centralized bargaining system, theory suggests that there is a weaker link between productivity and wages, but more macroeconomic resiliency, since wage-setters can recognize broader national interests, and entire sectors can have a coordinated response in the aftermath of an economic downturn.</w:t>
      </w:r>
    </w:p>
    <w:p w14:paraId="46BED86D" w14:textId="77777777" w:rsidR="007B429E" w:rsidRDefault="007B429E" w:rsidP="007B429E">
      <w:pPr>
        <w:pStyle w:val="Heading4"/>
      </w:pPr>
      <w:r>
        <w:t xml:space="preserve">The plan </w:t>
      </w:r>
      <w:r>
        <w:rPr>
          <w:u w:val="single"/>
        </w:rPr>
        <w:t>violates</w:t>
      </w:r>
      <w:r>
        <w:t xml:space="preserve">. </w:t>
      </w:r>
    </w:p>
    <w:p w14:paraId="22819FF2" w14:textId="77777777" w:rsidR="007B429E" w:rsidRPr="00F936B2" w:rsidRDefault="007B429E" w:rsidP="007B429E">
      <w:r w:rsidRPr="00F936B2">
        <w:rPr>
          <w:rStyle w:val="Style13ptBold"/>
        </w:rPr>
        <w:t>ARAW 08</w:t>
      </w:r>
      <w:r>
        <w:t xml:space="preserve"> – American Rights at Work. </w:t>
      </w:r>
    </w:p>
    <w:p w14:paraId="61E1D24A" w14:textId="77777777" w:rsidR="007B429E" w:rsidRPr="00F936B2" w:rsidRDefault="007B429E" w:rsidP="007B429E">
      <w:r>
        <w:t>ARAW, “THE HAVES AND THE HAVE-NOTS: How American Labor Law Denies a Quarter of the Workforce Collective Bargaining Rights,” American Rights at Work, November 2008, https://www.jwj.org/wp-content/uploads/2014/04/havesandhavenots_nlracoverage.pdf</w:t>
      </w:r>
    </w:p>
    <w:p w14:paraId="2F4D56BF" w14:textId="77777777" w:rsidR="007B429E" w:rsidRPr="00F936B2" w:rsidRDefault="007B429E" w:rsidP="007B429E">
      <w:pPr>
        <w:rPr>
          <w:sz w:val="16"/>
        </w:rPr>
      </w:pPr>
      <w:r w:rsidRPr="00F936B2">
        <w:rPr>
          <w:sz w:val="16"/>
        </w:rPr>
        <w:t xml:space="preserve">Passed in 1935, </w:t>
      </w:r>
      <w:r w:rsidRPr="005F342F">
        <w:rPr>
          <w:rStyle w:val="StyleUnderline"/>
          <w:highlight w:val="green"/>
        </w:rPr>
        <w:t>the</w:t>
      </w:r>
      <w:r w:rsidRPr="00F936B2">
        <w:rPr>
          <w:rStyle w:val="StyleUnderline"/>
        </w:rPr>
        <w:t xml:space="preserve"> federal National Labor Relations Act (</w:t>
      </w:r>
      <w:r w:rsidRPr="005F342F">
        <w:rPr>
          <w:rStyle w:val="StyleUnderline"/>
          <w:highlight w:val="green"/>
        </w:rPr>
        <w:t>NLRA</w:t>
      </w:r>
      <w:r w:rsidRPr="00F936B2">
        <w:rPr>
          <w:rStyle w:val="StyleUnderline"/>
        </w:rPr>
        <w:t>)</w:t>
      </w:r>
      <w:r w:rsidRPr="00F936B2">
        <w:rPr>
          <w:sz w:val="16"/>
        </w:rPr>
        <w:t xml:space="preserve">, also known as the Wagner Act, </w:t>
      </w:r>
      <w:r w:rsidRPr="005F342F">
        <w:rPr>
          <w:rStyle w:val="StyleUnderline"/>
          <w:highlight w:val="green"/>
        </w:rPr>
        <w:t>gave</w:t>
      </w:r>
      <w:r w:rsidRPr="00F936B2">
        <w:rPr>
          <w:rStyle w:val="StyleUnderline"/>
        </w:rPr>
        <w:t xml:space="preserve"> U.S. </w:t>
      </w:r>
      <w:r w:rsidRPr="005F342F">
        <w:rPr>
          <w:rStyle w:val="StyleUnderline"/>
        </w:rPr>
        <w:t xml:space="preserve">workers </w:t>
      </w:r>
      <w:r w:rsidRPr="005F342F">
        <w:rPr>
          <w:rStyle w:val="StyleUnderline"/>
          <w:highlight w:val="green"/>
        </w:rPr>
        <w:t xml:space="preserve">the </w:t>
      </w:r>
      <w:r w:rsidRPr="005F342F">
        <w:rPr>
          <w:rStyle w:val="Emphasis"/>
          <w:highlight w:val="green"/>
        </w:rPr>
        <w:t>right</w:t>
      </w:r>
      <w:r w:rsidRPr="005F342F">
        <w:rPr>
          <w:rStyle w:val="StyleUnderline"/>
          <w:highlight w:val="green"/>
        </w:rPr>
        <w:t xml:space="preserve"> to </w:t>
      </w:r>
      <w:r w:rsidRPr="005F342F">
        <w:rPr>
          <w:rStyle w:val="Emphasis"/>
          <w:highlight w:val="green"/>
        </w:rPr>
        <w:t>bargain collectively</w:t>
      </w:r>
      <w:r w:rsidRPr="00F936B2">
        <w:rPr>
          <w:rStyle w:val="StyleUnderline"/>
        </w:rPr>
        <w:t xml:space="preserve"> with their employers</w:t>
      </w:r>
      <w:r w:rsidRPr="00F936B2">
        <w:rPr>
          <w:sz w:val="16"/>
        </w:rPr>
        <w:t xml:space="preserve"> over wages, hours, and other terms and conditions of employment. While </w:t>
      </w:r>
      <w:r w:rsidRPr="00F936B2">
        <w:rPr>
          <w:rStyle w:val="StyleUnderline"/>
        </w:rPr>
        <w:t xml:space="preserve">the NLRA was meant to apply </w:t>
      </w:r>
      <w:r w:rsidRPr="005F342F">
        <w:rPr>
          <w:rStyle w:val="StyleUnderline"/>
          <w:highlight w:val="green"/>
        </w:rPr>
        <w:t xml:space="preserve">to </w:t>
      </w:r>
      <w:r w:rsidRPr="008575DF">
        <w:rPr>
          <w:rStyle w:val="Emphasis"/>
          <w:highlight w:val="green"/>
        </w:rPr>
        <w:t>“e</w:t>
      </w:r>
      <w:r w:rsidRPr="005F342F">
        <w:rPr>
          <w:rStyle w:val="Emphasis"/>
          <w:highlight w:val="green"/>
        </w:rPr>
        <w:t>mployees</w:t>
      </w:r>
      <w:r w:rsidRPr="008575DF">
        <w:rPr>
          <w:rStyle w:val="Emphasis"/>
          <w:highlight w:val="green"/>
        </w:rPr>
        <w:t>”</w:t>
      </w:r>
      <w:r w:rsidRPr="00F936B2">
        <w:rPr>
          <w:sz w:val="16"/>
        </w:rPr>
        <w:t xml:space="preserve"> in general, </w:t>
      </w:r>
      <w:r w:rsidRPr="000D3EF8">
        <w:rPr>
          <w:rStyle w:val="StyleUnderline"/>
        </w:rPr>
        <w:t>it</w:t>
      </w:r>
      <w:r w:rsidRPr="00F936B2">
        <w:rPr>
          <w:sz w:val="16"/>
        </w:rPr>
        <w:t xml:space="preserve"> also </w:t>
      </w:r>
      <w:r w:rsidRPr="000D3EF8">
        <w:rPr>
          <w:rStyle w:val="Emphasis"/>
        </w:rPr>
        <w:t>excluded</w:t>
      </w:r>
      <w:r w:rsidRPr="00F936B2">
        <w:rPr>
          <w:rStyle w:val="StyleUnderline"/>
        </w:rPr>
        <w:t xml:space="preserve"> a number of </w:t>
      </w:r>
      <w:r w:rsidRPr="005F342F">
        <w:rPr>
          <w:rStyle w:val="StyleUnderline"/>
        </w:rPr>
        <w:t>categories</w:t>
      </w:r>
      <w:r w:rsidRPr="00F936B2">
        <w:rPr>
          <w:rStyle w:val="StyleUnderline"/>
        </w:rPr>
        <w:t xml:space="preserve"> of </w:t>
      </w:r>
      <w:r w:rsidRPr="005F342F">
        <w:rPr>
          <w:rStyle w:val="StyleUnderline"/>
        </w:rPr>
        <w:t>workers</w:t>
      </w:r>
      <w:r w:rsidRPr="00F936B2">
        <w:rPr>
          <w:rStyle w:val="StyleUnderline"/>
        </w:rPr>
        <w:t xml:space="preserve"> from</w:t>
      </w:r>
      <w:r w:rsidRPr="00F936B2">
        <w:rPr>
          <w:sz w:val="16"/>
        </w:rPr>
        <w:t xml:space="preserve"> the provision of </w:t>
      </w:r>
      <w:r w:rsidRPr="00F936B2">
        <w:rPr>
          <w:rStyle w:val="StyleUnderline"/>
        </w:rPr>
        <w:t>these rights</w:t>
      </w:r>
      <w:r w:rsidRPr="00F936B2">
        <w:rPr>
          <w:sz w:val="16"/>
        </w:rPr>
        <w:t>. So did amendments to the Act and decisions by the Supreme Court and by the National Labor Relations Board (NLRB) on the scope of the NLRA’s coverage.1</w:t>
      </w:r>
    </w:p>
    <w:p w14:paraId="4505AC83" w14:textId="77777777" w:rsidR="007B429E" w:rsidRPr="00F936B2" w:rsidRDefault="007B429E" w:rsidP="007B429E">
      <w:pPr>
        <w:rPr>
          <w:sz w:val="16"/>
        </w:rPr>
      </w:pPr>
      <w:r w:rsidRPr="00F936B2">
        <w:rPr>
          <w:sz w:val="16"/>
        </w:rPr>
        <w:t xml:space="preserve">Thus, </w:t>
      </w:r>
      <w:r w:rsidRPr="00F936B2">
        <w:rPr>
          <w:rStyle w:val="StyleUnderline"/>
        </w:rPr>
        <w:t xml:space="preserve">the </w:t>
      </w:r>
      <w:r w:rsidRPr="000D3EF8">
        <w:rPr>
          <w:rStyle w:val="StyleUnderline"/>
          <w:highlight w:val="green"/>
        </w:rPr>
        <w:t xml:space="preserve">major groups </w:t>
      </w:r>
      <w:r w:rsidRPr="000D3EF8">
        <w:rPr>
          <w:rStyle w:val="Emphasis"/>
          <w:highlight w:val="green"/>
        </w:rPr>
        <w:t>excluded</w:t>
      </w:r>
      <w:r w:rsidRPr="00F936B2">
        <w:rPr>
          <w:rStyle w:val="StyleUnderline"/>
        </w:rPr>
        <w:t xml:space="preserve"> from NLRA coverage</w:t>
      </w:r>
      <w:r w:rsidRPr="00F936B2">
        <w:rPr>
          <w:sz w:val="16"/>
        </w:rPr>
        <w:t>, whether in the Act itself or via amendments and judicial interpretation</w:t>
      </w:r>
      <w:r w:rsidRPr="000D3EF8">
        <w:rPr>
          <w:sz w:val="16"/>
        </w:rPr>
        <w:t xml:space="preserve">, </w:t>
      </w:r>
      <w:r w:rsidRPr="000D3EF8">
        <w:rPr>
          <w:rStyle w:val="StyleUnderline"/>
          <w:highlight w:val="green"/>
        </w:rPr>
        <w:t>are</w:t>
      </w:r>
      <w:r w:rsidRPr="00F936B2">
        <w:rPr>
          <w:rStyle w:val="StyleUnderline"/>
        </w:rPr>
        <w:t>:</w:t>
      </w:r>
    </w:p>
    <w:p w14:paraId="05B7F03D" w14:textId="77777777" w:rsidR="007B429E" w:rsidRPr="00F936B2" w:rsidRDefault="007B429E" w:rsidP="007B429E">
      <w:pPr>
        <w:rPr>
          <w:sz w:val="16"/>
        </w:rPr>
      </w:pPr>
      <w:r w:rsidRPr="00F936B2">
        <w:rPr>
          <w:sz w:val="16"/>
        </w:rPr>
        <w:t xml:space="preserve">1. </w:t>
      </w:r>
      <w:r w:rsidRPr="005F342F">
        <w:rPr>
          <w:rStyle w:val="Emphasis"/>
          <w:highlight w:val="green"/>
        </w:rPr>
        <w:t>ag</w:t>
      </w:r>
      <w:r w:rsidRPr="00F936B2">
        <w:rPr>
          <w:rStyle w:val="StyleUnderline"/>
        </w:rPr>
        <w:t>ricultural workers</w:t>
      </w:r>
    </w:p>
    <w:p w14:paraId="7C88150B" w14:textId="77777777" w:rsidR="007B429E" w:rsidRPr="00F936B2" w:rsidRDefault="007B429E" w:rsidP="007B429E">
      <w:pPr>
        <w:rPr>
          <w:sz w:val="16"/>
        </w:rPr>
      </w:pPr>
      <w:r w:rsidRPr="00F936B2">
        <w:rPr>
          <w:sz w:val="16"/>
        </w:rPr>
        <w:t xml:space="preserve">2. </w:t>
      </w:r>
      <w:r w:rsidRPr="005F342F">
        <w:rPr>
          <w:rStyle w:val="Emphasis"/>
          <w:highlight w:val="green"/>
        </w:rPr>
        <w:t>domestic</w:t>
      </w:r>
      <w:r w:rsidRPr="005F342F">
        <w:rPr>
          <w:rStyle w:val="StyleUnderline"/>
        </w:rPr>
        <w:t xml:space="preserve"> workers</w:t>
      </w:r>
    </w:p>
    <w:p w14:paraId="0B9C52BE" w14:textId="77777777" w:rsidR="007B429E" w:rsidRPr="00F936B2" w:rsidRDefault="007B429E" w:rsidP="007B429E">
      <w:pPr>
        <w:rPr>
          <w:sz w:val="16"/>
        </w:rPr>
      </w:pPr>
      <w:r w:rsidRPr="00F936B2">
        <w:rPr>
          <w:sz w:val="16"/>
        </w:rPr>
        <w:t xml:space="preserve">3. </w:t>
      </w:r>
      <w:r w:rsidRPr="00F936B2">
        <w:rPr>
          <w:rStyle w:val="StyleUnderline"/>
        </w:rPr>
        <w:t>small business employees</w:t>
      </w:r>
    </w:p>
    <w:p w14:paraId="071EED5D" w14:textId="77777777" w:rsidR="007B429E" w:rsidRPr="00F936B2" w:rsidRDefault="007B429E" w:rsidP="007B429E">
      <w:pPr>
        <w:rPr>
          <w:sz w:val="16"/>
        </w:rPr>
      </w:pPr>
      <w:r w:rsidRPr="00F936B2">
        <w:rPr>
          <w:sz w:val="16"/>
        </w:rPr>
        <w:t xml:space="preserve">4. </w:t>
      </w:r>
      <w:r w:rsidRPr="003601F1">
        <w:rPr>
          <w:rStyle w:val="StyleUnderline"/>
        </w:rPr>
        <w:t>independent</w:t>
      </w:r>
      <w:r w:rsidRPr="00F936B2">
        <w:rPr>
          <w:rStyle w:val="StyleUnderline"/>
        </w:rPr>
        <w:t xml:space="preserve"> </w:t>
      </w:r>
      <w:r w:rsidRPr="005F342F">
        <w:rPr>
          <w:rStyle w:val="Emphasis"/>
          <w:highlight w:val="green"/>
        </w:rPr>
        <w:t>contractors</w:t>
      </w:r>
    </w:p>
    <w:p w14:paraId="4884ADF3" w14:textId="77777777" w:rsidR="007B429E" w:rsidRPr="00F936B2" w:rsidRDefault="007B429E" w:rsidP="007B429E">
      <w:pPr>
        <w:rPr>
          <w:sz w:val="16"/>
        </w:rPr>
      </w:pPr>
      <w:r w:rsidRPr="00F936B2">
        <w:rPr>
          <w:sz w:val="16"/>
        </w:rPr>
        <w:t xml:space="preserve">5. </w:t>
      </w:r>
      <w:r w:rsidRPr="00F936B2">
        <w:rPr>
          <w:rStyle w:val="StyleUnderline"/>
        </w:rPr>
        <w:t>supervisors and managers</w:t>
      </w:r>
    </w:p>
    <w:p w14:paraId="251220B7" w14:textId="77777777" w:rsidR="007B429E" w:rsidRDefault="007B429E" w:rsidP="007B429E">
      <w:pPr>
        <w:rPr>
          <w:rStyle w:val="StyleUnderline"/>
        </w:rPr>
      </w:pPr>
      <w:r w:rsidRPr="00F936B2">
        <w:rPr>
          <w:sz w:val="16"/>
        </w:rPr>
        <w:t xml:space="preserve">6. </w:t>
      </w:r>
      <w:r w:rsidRPr="005F342F">
        <w:rPr>
          <w:rStyle w:val="Emphasis"/>
          <w:highlight w:val="green"/>
        </w:rPr>
        <w:t>public</w:t>
      </w:r>
      <w:r w:rsidRPr="005F342F">
        <w:rPr>
          <w:rStyle w:val="StyleUnderline"/>
          <w:highlight w:val="green"/>
        </w:rPr>
        <w:t xml:space="preserve"> employees</w:t>
      </w:r>
    </w:p>
    <w:p w14:paraId="437DD35D" w14:textId="77777777" w:rsidR="007B429E" w:rsidRPr="00546960" w:rsidRDefault="007B429E" w:rsidP="007B429E">
      <w:pPr>
        <w:pStyle w:val="Heading4"/>
      </w:pPr>
      <w:r>
        <w:t xml:space="preserve">Vote neg for </w:t>
      </w:r>
      <w:r>
        <w:rPr>
          <w:u w:val="single"/>
        </w:rPr>
        <w:t>limits</w:t>
      </w:r>
      <w:r>
        <w:t xml:space="preserve"> and </w:t>
      </w:r>
      <w:r>
        <w:rPr>
          <w:u w:val="single"/>
        </w:rPr>
        <w:t>ground</w:t>
      </w:r>
      <w:r>
        <w:t xml:space="preserve">. They open the floodgates to </w:t>
      </w:r>
      <w:r>
        <w:rPr>
          <w:u w:val="single"/>
        </w:rPr>
        <w:t>infinite</w:t>
      </w:r>
      <w:r>
        <w:t xml:space="preserve"> expansion of rights to </w:t>
      </w:r>
      <w:r>
        <w:rPr>
          <w:u w:val="single"/>
        </w:rPr>
        <w:t>new categories</w:t>
      </w:r>
      <w:r>
        <w:t xml:space="preserve">. That’s a </w:t>
      </w:r>
      <w:r>
        <w:rPr>
          <w:u w:val="single"/>
        </w:rPr>
        <w:t>disaster</w:t>
      </w:r>
      <w:r>
        <w:t xml:space="preserve"> for neg fairness and research.</w:t>
      </w:r>
    </w:p>
    <w:p w14:paraId="4D226A2E" w14:textId="77777777" w:rsidR="007B429E" w:rsidRPr="003E5B7C" w:rsidRDefault="007B429E" w:rsidP="007B429E"/>
    <w:p w14:paraId="3C5046EB" w14:textId="77777777" w:rsidR="007B429E" w:rsidRDefault="007B429E" w:rsidP="007B429E">
      <w:r>
        <w:t xml:space="preserve"> </w:t>
      </w:r>
    </w:p>
    <w:p w14:paraId="428A07CA" w14:textId="77777777" w:rsidR="005D388F" w:rsidRPr="005D388F" w:rsidRDefault="005D388F" w:rsidP="005D388F"/>
    <w:sectPr w:rsidR="005D388F"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ECBAAF" w14:textId="77777777" w:rsidR="00F33AB3" w:rsidRDefault="00F33AB3" w:rsidP="00066D2C">
      <w:r>
        <w:separator/>
      </w:r>
    </w:p>
  </w:endnote>
  <w:endnote w:type="continuationSeparator" w:id="0">
    <w:p w14:paraId="4B23AC4F" w14:textId="77777777" w:rsidR="00F33AB3" w:rsidRDefault="00F33AB3"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1289DB" w14:textId="77777777" w:rsidR="00F33AB3" w:rsidRDefault="00F33AB3" w:rsidP="00066D2C">
      <w:r>
        <w:separator/>
      </w:r>
    </w:p>
  </w:footnote>
  <w:footnote w:type="continuationSeparator" w:id="0">
    <w:p w14:paraId="2E133568" w14:textId="77777777" w:rsidR="00F33AB3" w:rsidRDefault="00F33AB3"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42"/>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7B429E"/>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1F46"/>
    <w:rsid w:val="00544936"/>
    <w:rsid w:val="005449A8"/>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D7CE7"/>
    <w:rsid w:val="006E2A45"/>
    <w:rsid w:val="006E37D4"/>
    <w:rsid w:val="006F3768"/>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493C"/>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429E"/>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3906"/>
    <w:rsid w:val="0087564D"/>
    <w:rsid w:val="00876000"/>
    <w:rsid w:val="0089108B"/>
    <w:rsid w:val="00892EE6"/>
    <w:rsid w:val="008931B4"/>
    <w:rsid w:val="008973A2"/>
    <w:rsid w:val="008A0E76"/>
    <w:rsid w:val="008A1048"/>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3AB3"/>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5B98"/>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5D69F1"/>
  <w15:chartTrackingRefBased/>
  <w15:docId w15:val="{400E10A7-C4DB-4E16-A135-318D68A2D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7B429E"/>
    <w:pPr>
      <w:spacing w:after="0" w:line="240" w:lineRule="auto"/>
    </w:pPr>
    <w:rPr>
      <w:rFonts w:ascii="Calibri" w:hAnsi="Calibri" w:cs="Calibri"/>
    </w:rPr>
  </w:style>
  <w:style w:type="paragraph" w:styleId="Heading1">
    <w:name w:val="heading 1"/>
    <w:aliases w:val="Pocket"/>
    <w:basedOn w:val="Normal"/>
    <w:next w:val="Normal"/>
    <w:link w:val="Heading1Char"/>
    <w:qFormat/>
    <w:rsid w:val="007B429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7B429E"/>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Heading 3 Char Char,No Underline,Char Char Char Char Char Char Char, Char Char Char Char Char Char Char,Text 7,3: Cite,Index Headers,Bold Cite,Heading 3 Char1 Char Char,Citation Char Char Char Char,no,Heading 3 Char Char1,Char Char,Char"/>
    <w:basedOn w:val="Normal"/>
    <w:next w:val="Normal"/>
    <w:link w:val="Heading3Char"/>
    <w:uiPriority w:val="2"/>
    <w:qFormat/>
    <w:rsid w:val="007B429E"/>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Ch,no read,No Spacing211,No Spacing12,No Spacing2111,No Spacing111111,No Spacing4,No Spacing11111,No Spacing5,No Spacing21,No Spacing1,repeat block heading,Tag1,small space,No Spacing1121,CD - Cite,T,t"/>
    <w:basedOn w:val="Normal"/>
    <w:next w:val="Normal"/>
    <w:link w:val="Heading4Char"/>
    <w:uiPriority w:val="3"/>
    <w:qFormat/>
    <w:rsid w:val="007B429E"/>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7B429E"/>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7B42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429E"/>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8"/>
    <w:qFormat/>
    <w:rsid w:val="007B429E"/>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7B429E"/>
    <w:rPr>
      <w:color w:val="auto"/>
      <w:u w:val="none"/>
    </w:rPr>
  </w:style>
  <w:style w:type="character" w:customStyle="1" w:styleId="Heading1Char">
    <w:name w:val="Heading 1 Char"/>
    <w:aliases w:val="Pocket Char"/>
    <w:basedOn w:val="DefaultParagraphFont"/>
    <w:link w:val="Heading1"/>
    <w:rsid w:val="007B429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B429E"/>
    <w:rPr>
      <w:rFonts w:ascii="Calibri" w:eastAsiaTheme="majorEastAsia" w:hAnsi="Calibri" w:cstheme="majorBidi"/>
      <w:b/>
      <w:sz w:val="44"/>
      <w:szCs w:val="26"/>
      <w:u w:val="double"/>
    </w:rPr>
  </w:style>
  <w:style w:type="character" w:customStyle="1" w:styleId="Heading3Char">
    <w:name w:val="Heading 3 Char"/>
    <w:aliases w:val="Block Char,Heading 3 Char Char Char,No Underline Char,Char Char Char Char Char Char Char Char, Char Char Char Char Char Char Char Char,Text 7 Char,3: Cite Char,Index Headers Char,Bold Cite Char,Heading 3 Char1 Char Char Char,no Char"/>
    <w:basedOn w:val="DefaultParagraphFont"/>
    <w:link w:val="Heading3"/>
    <w:uiPriority w:val="2"/>
    <w:rsid w:val="007B429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Ch Char,no read Char,No Spacing211 Char,No Spacing12 Char,No Spacing2111 Char,No Spacing111111 Char,No Spacing4 Char,No Spacing11111 Char,No Spacing5 Char,No Spacing21 Char"/>
    <w:basedOn w:val="DefaultParagraphFont"/>
    <w:link w:val="Heading4"/>
    <w:uiPriority w:val="3"/>
    <w:rsid w:val="007B429E"/>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6"/>
    <w:qFormat/>
    <w:rsid w:val="007B429E"/>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7"/>
    <w:qFormat/>
    <w:rsid w:val="007B429E"/>
    <w:rPr>
      <w:b w:val="0"/>
      <w:sz w:val="22"/>
      <w:u w:val="single"/>
    </w:rPr>
  </w:style>
  <w:style w:type="character" w:styleId="Strong">
    <w:name w:val="Strong"/>
    <w:basedOn w:val="DefaultParagraphFont"/>
    <w:uiPriority w:val="22"/>
    <w:semiHidden/>
    <w:qFormat/>
    <w:rsid w:val="007B429E"/>
    <w:rPr>
      <w:b/>
      <w:bCs/>
    </w:rPr>
  </w:style>
  <w:style w:type="character" w:styleId="BookTitle">
    <w:name w:val="Book Title"/>
    <w:basedOn w:val="DefaultParagraphFont"/>
    <w:uiPriority w:val="33"/>
    <w:semiHidden/>
    <w:qFormat/>
    <w:rsid w:val="007B429E"/>
    <w:rPr>
      <w:b/>
      <w:bCs/>
      <w:i/>
      <w:iCs/>
      <w:spacing w:val="5"/>
    </w:rPr>
  </w:style>
  <w:style w:type="character" w:customStyle="1" w:styleId="Heading5Char">
    <w:name w:val="Heading 5 Char"/>
    <w:basedOn w:val="DefaultParagraphFont"/>
    <w:link w:val="Heading5"/>
    <w:uiPriority w:val="9"/>
    <w:semiHidden/>
    <w:rsid w:val="007B429E"/>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7B429E"/>
  </w:style>
  <w:style w:type="paragraph" w:styleId="Header">
    <w:name w:val="header"/>
    <w:basedOn w:val="Normal"/>
    <w:link w:val="HeaderChar"/>
    <w:uiPriority w:val="99"/>
    <w:semiHidden/>
    <w:rsid w:val="007B429E"/>
    <w:pPr>
      <w:tabs>
        <w:tab w:val="center" w:pos="4680"/>
        <w:tab w:val="right" w:pos="9360"/>
      </w:tabs>
    </w:pPr>
  </w:style>
  <w:style w:type="character" w:customStyle="1" w:styleId="HeaderChar">
    <w:name w:val="Header Char"/>
    <w:basedOn w:val="DefaultParagraphFont"/>
    <w:link w:val="Header"/>
    <w:uiPriority w:val="99"/>
    <w:semiHidden/>
    <w:rsid w:val="007B429E"/>
    <w:rPr>
      <w:rFonts w:ascii="Calibri" w:hAnsi="Calibri" w:cs="Calibri"/>
    </w:rPr>
  </w:style>
  <w:style w:type="paragraph" w:styleId="Footer">
    <w:name w:val="footer"/>
    <w:basedOn w:val="Normal"/>
    <w:link w:val="FooterChar"/>
    <w:uiPriority w:val="99"/>
    <w:semiHidden/>
    <w:rsid w:val="007B429E"/>
    <w:pPr>
      <w:tabs>
        <w:tab w:val="center" w:pos="4680"/>
        <w:tab w:val="right" w:pos="9360"/>
      </w:tabs>
    </w:pPr>
  </w:style>
  <w:style w:type="character" w:customStyle="1" w:styleId="FooterChar">
    <w:name w:val="Footer Char"/>
    <w:basedOn w:val="DefaultParagraphFont"/>
    <w:link w:val="Footer"/>
    <w:uiPriority w:val="99"/>
    <w:semiHidden/>
    <w:rsid w:val="007B429E"/>
    <w:rPr>
      <w:rFonts w:ascii="Calibri" w:hAnsi="Calibri" w:cs="Calibri"/>
    </w:rPr>
  </w:style>
  <w:style w:type="paragraph" w:styleId="BodyText">
    <w:name w:val="Body Text"/>
    <w:basedOn w:val="Normal"/>
    <w:link w:val="BodyTextChar"/>
    <w:uiPriority w:val="99"/>
    <w:semiHidden/>
    <w:unhideWhenUsed/>
    <w:rsid w:val="007B429E"/>
    <w:pPr>
      <w:spacing w:after="120"/>
    </w:pPr>
  </w:style>
  <w:style w:type="character" w:customStyle="1" w:styleId="BodyTextChar">
    <w:name w:val="Body Text Char"/>
    <w:basedOn w:val="DefaultParagraphFont"/>
    <w:link w:val="BodyText"/>
    <w:uiPriority w:val="99"/>
    <w:semiHidden/>
    <w:rsid w:val="007B429E"/>
    <w:rPr>
      <w:rFonts w:ascii="Calibri" w:hAnsi="Calibri" w:cs="Calibri"/>
    </w:rPr>
  </w:style>
  <w:style w:type="paragraph" w:styleId="NoSpacing">
    <w:name w:val="No Spacing"/>
    <w:link w:val="NoSpacingChar"/>
    <w:uiPriority w:val="99"/>
    <w:semiHidden/>
    <w:unhideWhenUsed/>
    <w:qFormat/>
    <w:rsid w:val="007B429E"/>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7B429E"/>
    <w:rPr>
      <w:rFonts w:ascii="Calibri" w:hAnsi="Calibri" w:cs="Calibri"/>
    </w:rPr>
  </w:style>
  <w:style w:type="character" w:styleId="Hyperlink">
    <w:name w:val="Hyperlink"/>
    <w:basedOn w:val="DefaultParagraphFont"/>
    <w:uiPriority w:val="99"/>
    <w:unhideWhenUsed/>
    <w:rsid w:val="007B429E"/>
    <w:rPr>
      <w:color w:val="0563C1" w:themeColor="hyperlink"/>
      <w:u w:val="single"/>
    </w:rPr>
  </w:style>
  <w:style w:type="character" w:styleId="UnresolvedMention">
    <w:name w:val="Unresolved Mention"/>
    <w:basedOn w:val="DefaultParagraphFont"/>
    <w:uiPriority w:val="99"/>
    <w:semiHidden/>
    <w:unhideWhenUsed/>
    <w:rsid w:val="007B429E"/>
    <w:rPr>
      <w:color w:val="605E5C"/>
      <w:shd w:val="clear" w:color="auto" w:fill="E1DFDD"/>
    </w:rPr>
  </w:style>
  <w:style w:type="paragraph" w:customStyle="1" w:styleId="Undertag">
    <w:name w:val="Undertag"/>
    <w:link w:val="UndertagChar"/>
    <w:autoRedefine/>
    <w:uiPriority w:val="5"/>
    <w:qFormat/>
    <w:rsid w:val="007B429E"/>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7B429E"/>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7B429E"/>
    <w:rPr>
      <w:color w:val="1F3864" w:themeColor="accent1" w:themeShade="80"/>
    </w:rPr>
  </w:style>
  <w:style w:type="character" w:customStyle="1" w:styleId="AnalyticChar">
    <w:name w:val="Analytic Char"/>
    <w:basedOn w:val="DefaultParagraphFont"/>
    <w:link w:val="Analytic"/>
    <w:uiPriority w:val="5"/>
    <w:rsid w:val="007B429E"/>
    <w:rPr>
      <w:rFonts w:ascii="Calibri" w:eastAsiaTheme="majorEastAsia" w:hAnsi="Calibri" w:cstheme="majorBidi"/>
      <w:b/>
      <w:iCs/>
      <w:color w:val="1F3864" w:themeColor="accent1" w:themeShade="80"/>
      <w:sz w:val="26"/>
    </w:rPr>
  </w:style>
  <w:style w:type="paragraph" w:customStyle="1" w:styleId="textbold">
    <w:name w:val="text bold"/>
    <w:basedOn w:val="Normal"/>
    <w:link w:val="Emphasis"/>
    <w:uiPriority w:val="8"/>
    <w:qFormat/>
    <w:rsid w:val="007B429E"/>
    <w:pPr>
      <w:pBdr>
        <w:top w:val="single" w:sz="8" w:space="0" w:color="auto"/>
        <w:left w:val="single" w:sz="8" w:space="0" w:color="auto"/>
        <w:bottom w:val="single" w:sz="8" w:space="0" w:color="auto"/>
        <w:right w:val="single" w:sz="8" w:space="0" w:color="auto"/>
      </w:pBdr>
      <w:spacing w:after="160" w:line="256" w:lineRule="auto"/>
      <w:ind w:left="720"/>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jcow\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981</Words>
  <Characters>5536</Characters>
  <Application>Microsoft Office Word</Application>
  <DocSecurity>0</DocSecurity>
  <Lines>56</Lines>
  <Paragraphs>17</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6500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Connelly Cowan</dc:creator>
  <cp:keywords>6.0.0</cp:keywords>
  <dc:description/>
  <cp:lastModifiedBy>Connelly Josephine Cowan</cp:lastModifiedBy>
  <cp:revision>1</cp:revision>
  <dcterms:created xsi:type="dcterms:W3CDTF">2025-09-25T21:47:00Z</dcterms:created>
  <dcterms:modified xsi:type="dcterms:W3CDTF">2025-09-25T21:47:00Z</dcterms:modified>
</cp:coreProperties>
</file>